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3C1" w14:textId="77777777" w:rsidR="00C00388" w:rsidRPr="001B512D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B512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00435295" w14:textId="77777777" w:rsidR="00D60791" w:rsidRPr="001B512D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1C3CBD6" w14:textId="77777777" w:rsidR="00D60791" w:rsidRPr="001B512D" w:rsidRDefault="00E02CDD" w:rsidP="00E02CDD">
      <w:pPr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B512D">
        <w:rPr>
          <w:rFonts w:ascii="Sylfaen" w:eastAsia="Times New Roman" w:hAnsi="Sylfaen" w:cs="Times New Roman"/>
          <w:noProof/>
          <w:sz w:val="20"/>
          <w:szCs w:val="20"/>
        </w:rPr>
        <w:drawing>
          <wp:inline distT="0" distB="0" distL="0" distR="0" wp14:anchorId="3935C70F" wp14:editId="5F225095">
            <wp:extent cx="653415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FA2F1" w14:textId="77777777" w:rsidR="00C00388" w:rsidRPr="001B512D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11A6944" w14:textId="77777777" w:rsidR="00920E56" w:rsidRPr="001B512D" w:rsidRDefault="003B5FF9" w:rsidP="0088202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1B512D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820"/>
        <w:gridCol w:w="6521"/>
      </w:tblGrid>
      <w:tr w:rsidR="00FD430A" w:rsidRPr="001B512D" w14:paraId="17F1AEA1" w14:textId="77777777" w:rsidTr="00E02CDD">
        <w:trPr>
          <w:trHeight w:val="143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D451A90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F18DD62" w14:textId="77777777" w:rsidR="00761D47" w:rsidRPr="001B512D" w:rsidRDefault="000D5F02" w:rsidP="00E02CDD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/>
                <w:sz w:val="20"/>
                <w:szCs w:val="20"/>
              </w:rPr>
              <w:t xml:space="preserve">minor - </w:t>
            </w:r>
            <w:r w:rsidR="00C7305F" w:rsidRPr="001B512D">
              <w:rPr>
                <w:rFonts w:ascii="Sylfaen" w:hAnsi="Sylfaen"/>
                <w:sz w:val="20"/>
                <w:szCs w:val="20"/>
                <w:lang w:val="ka-GE"/>
              </w:rPr>
              <w:t>პროგრამა „</w:t>
            </w:r>
            <w:proofErr w:type="gramStart"/>
            <w:r w:rsidR="00481C1F" w:rsidRPr="001B512D"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  <w:r w:rsidR="00C7305F" w:rsidRPr="001B512D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proofErr w:type="gramEnd"/>
            <w:r w:rsidR="00C87E9B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481C1F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FD430A" w:rsidRPr="001B512D" w14:paraId="36BA71B9" w14:textId="77777777" w:rsidTr="00E02CDD">
        <w:trPr>
          <w:trHeight w:val="505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DC5088B" w14:textId="77777777" w:rsidR="006858BC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1B512D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7AE57CDB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F3DEE2" w14:textId="77777777" w:rsidR="00761D47" w:rsidRPr="001B512D" w:rsidRDefault="004F5A8F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FD430A" w:rsidRPr="001B512D" w14:paraId="218B0ED7" w14:textId="77777777" w:rsidTr="00E02CDD">
        <w:trPr>
          <w:trHeight w:val="143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9A99615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EF6F3B" w14:textId="77777777" w:rsidR="00761D47" w:rsidRPr="001B512D" w:rsidRDefault="00C87E9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Pr="001B512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1B512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Pr="001B512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1B512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38740D" w14:paraId="53E7549D" w14:textId="77777777" w:rsidTr="00E02CDD">
        <w:trPr>
          <w:trHeight w:val="143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EC510DD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1B51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E02C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1B51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70D0022" w14:textId="77777777" w:rsidR="00E045DB" w:rsidRDefault="00E045DB" w:rsidP="00E02CD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პროფესორი ზაზა სოხაძე</w:t>
            </w:r>
          </w:p>
          <w:p w14:paraId="37F52DB5" w14:textId="16D6FF13" w:rsidR="0038740D" w:rsidRPr="0038740D" w:rsidRDefault="00F1479A" w:rsidP="00E02CD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hyperlink r:id="rId9" w:history="1">
              <w:r w:rsidR="0038740D" w:rsidRPr="00CF02F0">
                <w:rPr>
                  <w:rStyle w:val="Hyperlink"/>
                  <w:rFonts w:ascii="Sylfaen" w:eastAsia="Times New Roman" w:hAnsi="Sylfaen" w:cs="Times New Roman"/>
                  <w:sz w:val="20"/>
                  <w:szCs w:val="20"/>
                  <w:lang w:val="ka-GE" w:eastAsia="ru-RU"/>
                </w:rPr>
                <w:t>Zaza.sokhadze@atsu.edu.ge</w:t>
              </w:r>
            </w:hyperlink>
            <w:r w:rsidR="0038740D" w:rsidRPr="0038740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</w:tc>
      </w:tr>
      <w:tr w:rsidR="00FD430A" w:rsidRPr="001B512D" w14:paraId="44609BC1" w14:textId="77777777" w:rsidTr="00E02CDD">
        <w:trPr>
          <w:trHeight w:val="143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CA5FF65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FD430A" w:rsidRPr="001B512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1B512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1B512D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1B512D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1B512D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</w:tcPr>
          <w:p w14:paraId="3743C944" w14:textId="77777777" w:rsidR="00E02CDD" w:rsidRDefault="00761D47" w:rsidP="00E02CD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D11BF0" w:rsidRPr="001B512D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1B51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E02CDD">
              <w:rPr>
                <w:rFonts w:ascii="Sylfaen" w:hAnsi="Sylfaen"/>
                <w:bCs/>
                <w:sz w:val="20"/>
                <w:szCs w:val="20"/>
              </w:rPr>
              <w:t xml:space="preserve">6 </w:t>
            </w:r>
            <w:r w:rsidR="00E02CDD">
              <w:rPr>
                <w:rFonts w:ascii="Sylfaen" w:hAnsi="Sylfaen"/>
                <w:bCs/>
                <w:sz w:val="20"/>
                <w:szCs w:val="20"/>
                <w:lang w:val="ka-GE"/>
              </w:rPr>
              <w:t>სემესტრი</w:t>
            </w:r>
          </w:p>
          <w:p w14:paraId="3E8D0E0B" w14:textId="77777777" w:rsidR="00761D47" w:rsidRPr="001B512D" w:rsidRDefault="00E02CDD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="00761D47" w:rsidRPr="001B51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60 </w:t>
            </w:r>
            <w:r w:rsidR="00761D47" w:rsidRPr="001B51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1B512D" w14:paraId="2D0E18CD" w14:textId="77777777" w:rsidTr="00E02CDD">
        <w:trPr>
          <w:trHeight w:val="143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49441A32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DDD42" w14:textId="77777777" w:rsidR="00761D47" w:rsidRPr="001B512D" w:rsidRDefault="00C87E9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1B512D" w14:paraId="1EEFDEE3" w14:textId="77777777" w:rsidTr="00E02CDD">
        <w:trPr>
          <w:trHeight w:val="143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0DA3290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D11BF0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1B51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D11BF0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="00FD430A" w:rsidRPr="001B512D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4380D" w14:textId="77777777" w:rsidR="00747F9E" w:rsidRDefault="00747F9E" w:rsidP="00E02CD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proofErr w:type="spellStart"/>
            <w:r w:rsidRPr="00D84D66">
              <w:rPr>
                <w:rFonts w:ascii="Sylfaen" w:hAnsi="Sylfaen" w:cs="Sylfaen"/>
                <w:sz w:val="20"/>
                <w:szCs w:val="20"/>
              </w:rPr>
              <w:t>აკრედიტ</w:t>
            </w:r>
            <w:proofErr w:type="spellEnd"/>
            <w:r w:rsidRPr="00D84D66">
              <w:rPr>
                <w:rFonts w:ascii="Sylfaen" w:hAnsi="Sylfaen" w:cs="Sylfaen"/>
                <w:sz w:val="20"/>
                <w:szCs w:val="20"/>
                <w:lang w:val="ka-GE"/>
              </w:rPr>
              <w:t>აციის საბჭოს</w:t>
            </w:r>
            <w:r w:rsidRPr="00D84D6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D84D66"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 w:rsidRPr="00D84D66">
              <w:rPr>
                <w:rFonts w:ascii="Sylfaen" w:hAnsi="Sylfaen" w:cs="Arial"/>
                <w:sz w:val="20"/>
                <w:szCs w:val="20"/>
              </w:rPr>
              <w:t>: №</w:t>
            </w:r>
            <w:r w:rsidRPr="00747F9E">
              <w:rPr>
                <w:rFonts w:ascii="Sylfaen" w:hAnsi="Sylfaen"/>
                <w:sz w:val="20"/>
                <w:szCs w:val="20"/>
                <w:lang w:val="ka-GE"/>
              </w:rPr>
              <w:t>714465, 1.07.2021</w:t>
            </w:r>
          </w:p>
          <w:p w14:paraId="2E94D659" w14:textId="0EE39184" w:rsidR="007C677F" w:rsidRPr="001B512D" w:rsidRDefault="007C677F" w:rsidP="00E02CD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  (21/22)  17.09.2021</w:t>
            </w:r>
          </w:p>
        </w:tc>
      </w:tr>
      <w:tr w:rsidR="00FD430A" w:rsidRPr="001B512D" w14:paraId="71C4A7B9" w14:textId="77777777" w:rsidTr="00E02CDD">
        <w:trPr>
          <w:trHeight w:val="143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467A09" w14:textId="77777777" w:rsidR="00761D47" w:rsidRPr="001B512D" w:rsidRDefault="00761D47" w:rsidP="00E02CD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924C24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924C24" w:rsidRPr="001B512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1B512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1B512D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1B512D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1B512D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1B512D" w14:paraId="1E60B54B" w14:textId="77777777" w:rsidTr="00E02CDD">
        <w:trPr>
          <w:trHeight w:val="356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63592C" w14:textId="77777777" w:rsidR="00134AAB" w:rsidRPr="008641BB" w:rsidRDefault="00134AAB" w:rsidP="008641BB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E045DB" w:rsidRPr="001B512D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პროგრამა წარმოადგენს საბაკალავრო პროგრამის სავალდებულო ნაწილს.</w:t>
            </w:r>
            <w:r w:rsidR="007357C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სტუდენტ</w:t>
            </w:r>
            <w:r w:rsidR="008641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 უნდა ფლობდეს მათემატიკური ანალიზის, წრფივი ალგებრისა და ანალიზური გეომეტრიის ელემენტარულ საკითხებს.</w:t>
            </w:r>
          </w:p>
        </w:tc>
      </w:tr>
      <w:tr w:rsidR="00FD430A" w:rsidRPr="001B512D" w14:paraId="4CAAA520" w14:textId="77777777" w:rsidTr="00E02CDD">
        <w:trPr>
          <w:trHeight w:val="143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F17BC95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FD430A" w:rsidRPr="001B512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  <w:r w:rsidR="00134AAB" w:rsidRPr="001B512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FD430A" w:rsidRPr="001B512D" w14:paraId="54086114" w14:textId="77777777" w:rsidTr="00E02CDD">
        <w:trPr>
          <w:trHeight w:val="541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DA659" w14:textId="77777777" w:rsidR="00D03458" w:rsidRPr="001B512D" w:rsidRDefault="00D03458" w:rsidP="00E02CD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მათემატიკის </w:t>
            </w:r>
            <w:r w:rsidRPr="001B512D">
              <w:rPr>
                <w:rFonts w:ascii="Sylfaen" w:hAnsi="Sylfaen"/>
                <w:sz w:val="20"/>
                <w:szCs w:val="20"/>
              </w:rPr>
              <w:t>minor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მიზანია </w:t>
            </w:r>
          </w:p>
          <w:p w14:paraId="5A33897C" w14:textId="77777777" w:rsidR="00481C1F" w:rsidRPr="001B512D" w:rsidRDefault="00481C1F" w:rsidP="00E02CDD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180" w:firstLine="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მისცეს სტუდენტს მათემატიკის საბაზისო თეორიებისა და პრინციპების ცოდნა </w:t>
            </w:r>
          </w:p>
          <w:p w14:paraId="062E3C22" w14:textId="77777777" w:rsidR="00481C1F" w:rsidRPr="001B512D" w:rsidRDefault="00481C1F" w:rsidP="00E02CDD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ind w:left="180" w:firstLine="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სტუდენტს განუვითაროს მათემატიკური თეორიებისა და მეთოდების გამოყენების უნარი მარტივი და საშუალო დონის თეორიული და გამოყენებითი ხასიათის პრობლემების გადასაჭრელად</w:t>
            </w:r>
          </w:p>
          <w:p w14:paraId="36C58EE9" w14:textId="77777777" w:rsidR="00481C1F" w:rsidRPr="001B512D" w:rsidRDefault="00481C1F" w:rsidP="00E02CDD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ind w:left="180" w:firstLine="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სტუდენტს განუვითაროს ლოგიკური აზროვნების, კრიტიკული გააზრებისა და ანალიზის,  მონაცემების საფუძველზე სწორი დასკვნების გაკეთების უნარი</w:t>
            </w:r>
          </w:p>
        </w:tc>
      </w:tr>
      <w:tr w:rsidR="00FD430A" w:rsidRPr="001B512D" w14:paraId="51E98A9C" w14:textId="77777777" w:rsidTr="00E02CDD">
        <w:trPr>
          <w:trHeight w:val="284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810D56" w14:textId="77777777" w:rsidR="00761D47" w:rsidRPr="001B512D" w:rsidRDefault="00761D47" w:rsidP="00E02CDD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1B512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1B512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FD430A" w:rsidRPr="001B512D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D03458" w:rsidRPr="001B512D" w14:paraId="39EF4ED0" w14:textId="77777777" w:rsidTr="00E02CDD">
        <w:trPr>
          <w:trHeight w:val="112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77771DF" w14:textId="77777777" w:rsidR="00D03458" w:rsidRPr="001B512D" w:rsidRDefault="00D03458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1.ცოდნა და გაცნობიერება</w:t>
            </w:r>
          </w:p>
          <w:p w14:paraId="0C581A68" w14:textId="77777777" w:rsidR="00D03458" w:rsidRPr="001B512D" w:rsidRDefault="00D03458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9C992" w14:textId="77777777" w:rsidR="00D03458" w:rsidRPr="001B512D" w:rsidRDefault="00D03458" w:rsidP="00E02CD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1B51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1. </w:t>
            </w:r>
            <w:r w:rsidR="001B512D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აყალიბებს 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მათემატიკის ფუნდამენტურ თეორიებს, პრინციპებს და  კონცეფციებს</w:t>
            </w:r>
            <w:r w:rsidRPr="001B512D">
              <w:rPr>
                <w:rFonts w:ascii="Sylfaen" w:hAnsi="Sylfaen"/>
                <w:sz w:val="20"/>
                <w:szCs w:val="20"/>
              </w:rPr>
              <w:t>;</w:t>
            </w:r>
          </w:p>
          <w:p w14:paraId="4BB6ABF2" w14:textId="77777777" w:rsidR="00D03458" w:rsidRPr="001B512D" w:rsidRDefault="00D03458" w:rsidP="00E02CD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აღწერს 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მათემატიკის ისტორიული განვითარების ეტაპებს და მეცნიერულ აზროვნებაზე  მათემატიკის ზეგავლენის ზოგიერთ ასპექტს</w:t>
            </w:r>
          </w:p>
        </w:tc>
      </w:tr>
      <w:tr w:rsidR="00D03458" w:rsidRPr="001B512D" w14:paraId="705AAC64" w14:textId="77777777" w:rsidTr="00E02CDD">
        <w:trPr>
          <w:trHeight w:val="186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CAF4A9E" w14:textId="77777777" w:rsidR="00D03458" w:rsidRPr="001B512D" w:rsidRDefault="00D03458" w:rsidP="007245F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2. </w:t>
            </w:r>
            <w:r w:rsidR="007245F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3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E6D0F" w14:textId="77777777" w:rsidR="00D03458" w:rsidRPr="001B512D" w:rsidRDefault="001B512D" w:rsidP="00E02CDD">
            <w:pPr>
              <w:pStyle w:val="ListParagraph"/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="00D03458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მათემატიკური 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დებულებებ</w:t>
            </w:r>
            <w:r w:rsidR="00D03458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ს, პრინციპებსა და 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მეთოდებ</w:t>
            </w:r>
            <w:r w:rsidR="00D03458" w:rsidRPr="001B512D">
              <w:rPr>
                <w:rFonts w:ascii="Sylfaen" w:hAnsi="Sylfaen"/>
                <w:sz w:val="20"/>
                <w:szCs w:val="20"/>
                <w:lang w:val="ka-GE"/>
              </w:rPr>
              <w:t>ს ამოცანების ამოსახსნელად</w:t>
            </w:r>
            <w:r w:rsidR="00D03458" w:rsidRPr="001B512D">
              <w:rPr>
                <w:rFonts w:ascii="Sylfaen" w:hAnsi="Sylfaen"/>
                <w:sz w:val="20"/>
                <w:szCs w:val="20"/>
              </w:rPr>
              <w:t>;</w:t>
            </w:r>
          </w:p>
          <w:p w14:paraId="193AB43D" w14:textId="77777777" w:rsidR="00D03458" w:rsidRPr="001B512D" w:rsidRDefault="001B512D" w:rsidP="00E02CDD">
            <w:pPr>
              <w:pStyle w:val="ListParagraph"/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="00D03458" w:rsidRPr="001B512D">
              <w:rPr>
                <w:rFonts w:ascii="Sylfaen" w:hAnsi="Sylfaen"/>
                <w:sz w:val="20"/>
                <w:szCs w:val="20"/>
                <w:lang w:val="ka-GE"/>
              </w:rPr>
              <w:t>ლოგიკურ მათემატიკურ მსჯელობა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D03458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მოცემულობების, დაშვებების და დასკვნების მკაფიო იდენტიფიკაციით.</w:t>
            </w:r>
          </w:p>
          <w:p w14:paraId="7C214F30" w14:textId="77777777" w:rsidR="00D03458" w:rsidRPr="001B512D" w:rsidRDefault="00D03458" w:rsidP="00E02CDD">
            <w:pPr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შეუძლია 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კომუნიკაცია;</w:t>
            </w:r>
          </w:p>
          <w:p w14:paraId="24E7EC22" w14:textId="77777777" w:rsidR="00D03458" w:rsidRPr="001B512D" w:rsidRDefault="00D03458" w:rsidP="00E02CDD">
            <w:pPr>
              <w:numPr>
                <w:ilvl w:val="0"/>
                <w:numId w:val="3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B512D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რეალური სამყაროს რიგი მოვლენების მათემატიკური მოდელირება</w:t>
            </w:r>
            <w:r w:rsidR="001B512D" w:rsidRPr="001B512D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1B512D">
              <w:rPr>
                <w:rFonts w:ascii="Sylfaen" w:hAnsi="Sylfaen"/>
                <w:sz w:val="20"/>
                <w:szCs w:val="20"/>
              </w:rPr>
              <w:t>;</w:t>
            </w:r>
          </w:p>
        </w:tc>
      </w:tr>
      <w:tr w:rsidR="00D03458" w:rsidRPr="001B512D" w14:paraId="6F4A256E" w14:textId="77777777" w:rsidTr="00E02CDD">
        <w:trPr>
          <w:trHeight w:val="567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1946293" w14:textId="77777777" w:rsidR="00D03458" w:rsidRPr="001B512D" w:rsidRDefault="00D03458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 პასუხისმგებლობა და ავტონომიურობა</w:t>
            </w:r>
          </w:p>
        </w:tc>
        <w:tc>
          <w:tcPr>
            <w:tcW w:w="73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69120" w14:textId="77777777" w:rsidR="00D03458" w:rsidRPr="001B512D" w:rsidRDefault="00D03458" w:rsidP="00E02CDD">
            <w:pPr>
              <w:pStyle w:val="ListParagraph"/>
              <w:tabs>
                <w:tab w:val="left" w:pos="343"/>
              </w:tabs>
              <w:spacing w:after="0" w:line="240" w:lineRule="auto"/>
              <w:ind w:left="0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D430A" w:rsidRPr="001B512D" w14:paraId="0C8B8F19" w14:textId="77777777" w:rsidTr="00E02CDD">
        <w:trPr>
          <w:trHeight w:val="298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A8ADEA1" w14:textId="77777777" w:rsidR="009D7832" w:rsidRPr="001B512D" w:rsidRDefault="009D7832" w:rsidP="00E02CD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1B512D" w14:paraId="743C4FF9" w14:textId="77777777" w:rsidTr="00E02CDD">
        <w:trPr>
          <w:trHeight w:val="381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D65EE" w14:textId="77777777" w:rsidR="009D7832" w:rsidRPr="001B512D" w:rsidRDefault="00C87E9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>ვერბ</w:t>
            </w:r>
            <w:r w:rsidRPr="001B512D">
              <w:rPr>
                <w:rFonts w:ascii="Sylfaen" w:hAnsi="Sylfaen"/>
                <w:sz w:val="20"/>
                <w:szCs w:val="20"/>
              </w:rPr>
              <w:t>ა</w:t>
            </w:r>
            <w:r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ლური, </w:t>
            </w:r>
            <w:r w:rsidR="006952BF" w:rsidRPr="001B512D">
              <w:rPr>
                <w:rFonts w:ascii="Sylfaen" w:hAnsi="Sylfaen"/>
                <w:sz w:val="20"/>
                <w:szCs w:val="20"/>
                <w:lang w:val="ka-GE"/>
              </w:rPr>
              <w:t>ანალიზის, სინთეზის,</w:t>
            </w:r>
            <w:r w:rsidR="003928DD">
              <w:rPr>
                <w:rFonts w:ascii="Sylfaen" w:hAnsi="Sylfaen"/>
                <w:sz w:val="20"/>
                <w:szCs w:val="20"/>
                <w:lang w:val="ka-GE"/>
              </w:rPr>
              <w:t>პრაქტიკული, დემონსტრირების, ანალიზის, სინთეზის,</w:t>
            </w:r>
            <w:r w:rsidR="006952BF" w:rsidRPr="001B512D">
              <w:rPr>
                <w:rFonts w:ascii="Sylfaen" w:hAnsi="Sylfaen"/>
                <w:sz w:val="20"/>
                <w:szCs w:val="20"/>
                <w:lang w:val="ka-GE"/>
              </w:rPr>
              <w:t xml:space="preserve"> ინდუქციის, დედუქციის მეთოდები </w:t>
            </w:r>
          </w:p>
        </w:tc>
      </w:tr>
      <w:tr w:rsidR="00FD430A" w:rsidRPr="001B512D" w14:paraId="2BD2808F" w14:textId="77777777" w:rsidTr="00E02CDD">
        <w:trPr>
          <w:trHeight w:val="298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8D4EE9B" w14:textId="77777777" w:rsidR="009D7832" w:rsidRPr="001B512D" w:rsidRDefault="009D7832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FD430A" w:rsidRPr="001B512D" w14:paraId="2C618464" w14:textId="77777777" w:rsidTr="00E02CDD">
        <w:trPr>
          <w:trHeight w:val="645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AB608" w14:textId="77777777" w:rsidR="00134AAB" w:rsidRPr="001B512D" w:rsidRDefault="007D257B" w:rsidP="00E02CDD">
            <w:pPr>
              <w:pStyle w:val="Default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1B512D">
              <w:rPr>
                <w:color w:val="auto"/>
                <w:sz w:val="20"/>
                <w:szCs w:val="20"/>
                <w:lang w:val="ka-GE"/>
              </w:rPr>
              <w:t xml:space="preserve">სასწავლო პროგრამა შედგება </w:t>
            </w:r>
            <w:r w:rsidRPr="001B512D">
              <w:rPr>
                <w:color w:val="auto"/>
                <w:sz w:val="20"/>
                <w:szCs w:val="20"/>
                <w:lang w:val="de-DE"/>
              </w:rPr>
              <w:t>(</w:t>
            </w:r>
            <w:r w:rsidRPr="001B512D">
              <w:rPr>
                <w:rFonts w:cs="Times New Roman"/>
                <w:b/>
                <w:bCs/>
                <w:color w:val="auto"/>
                <w:sz w:val="20"/>
                <w:szCs w:val="20"/>
                <w:lang w:val="de-DE"/>
              </w:rPr>
              <w:t>minor</w:t>
            </w:r>
            <w:r w:rsidRPr="001B512D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) </w:t>
            </w:r>
            <w:r w:rsidRPr="001B512D">
              <w:rPr>
                <w:rFonts w:cs="Times New Roman"/>
                <w:b/>
                <w:bCs/>
                <w:color w:val="auto"/>
                <w:sz w:val="20"/>
                <w:szCs w:val="20"/>
                <w:lang w:val="de-DE"/>
              </w:rPr>
              <w:t xml:space="preserve">– </w:t>
            </w:r>
            <w:r w:rsidRPr="001B512D">
              <w:rPr>
                <w:rFonts w:cs="Times New Roman"/>
                <w:bCs/>
                <w:color w:val="auto"/>
                <w:sz w:val="20"/>
                <w:szCs w:val="20"/>
                <w:lang w:val="de-DE"/>
              </w:rPr>
              <w:t xml:space="preserve">60 </w:t>
            </w:r>
            <w:r w:rsidRPr="001B512D">
              <w:rPr>
                <w:bCs/>
                <w:color w:val="auto"/>
                <w:sz w:val="20"/>
                <w:szCs w:val="20"/>
                <w:lang w:val="de-DE"/>
              </w:rPr>
              <w:t>კრედიტი</w:t>
            </w:r>
            <w:r w:rsidRPr="001B512D">
              <w:rPr>
                <w:color w:val="auto"/>
                <w:sz w:val="20"/>
                <w:szCs w:val="20"/>
                <w:lang w:val="ka-GE"/>
              </w:rPr>
              <w:t xml:space="preserve">საგან. </w:t>
            </w:r>
          </w:p>
          <w:p w14:paraId="5B4620B4" w14:textId="77777777" w:rsidR="009D7832" w:rsidRPr="001B512D" w:rsidRDefault="009D7832" w:rsidP="00E02CDD">
            <w:pPr>
              <w:pStyle w:val="Default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FD430A" w:rsidRPr="001B512D" w14:paraId="656C4E28" w14:textId="77777777" w:rsidTr="00E02CDD">
        <w:trPr>
          <w:trHeight w:val="284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420B27E" w14:textId="77777777" w:rsidR="009D7832" w:rsidRPr="001B512D" w:rsidRDefault="009D7832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1B512D" w14:paraId="0222114B" w14:textId="77777777" w:rsidTr="00E02CDD">
        <w:trPr>
          <w:trHeight w:val="675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F5231" w14:textId="77777777" w:rsidR="00E045DB" w:rsidRPr="001B512D" w:rsidRDefault="00E045DB" w:rsidP="00E02CDD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1B512D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0C00C65F" w14:textId="77777777" w:rsidR="00E045DB" w:rsidRPr="001B512D" w:rsidRDefault="00E045DB" w:rsidP="00E02CD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14C6D034" w14:textId="77777777" w:rsidR="00E045DB" w:rsidRPr="001B512D" w:rsidRDefault="00E045DB" w:rsidP="00E02CD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1B512D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2A2E1C61" w14:textId="77777777" w:rsidR="00E045DB" w:rsidRPr="001B512D" w:rsidRDefault="00E045DB" w:rsidP="00E02CD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460385A3" w14:textId="77777777" w:rsidR="00E045DB" w:rsidRPr="001B512D" w:rsidRDefault="00E045DB" w:rsidP="00E02CD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102A943C" w14:textId="77777777" w:rsidR="00E045DB" w:rsidRPr="001B512D" w:rsidRDefault="00E045DB" w:rsidP="00E02CD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14:paraId="4C85895A" w14:textId="77777777" w:rsidR="00E045DB" w:rsidRPr="001B512D" w:rsidRDefault="00E045DB" w:rsidP="00E02CDD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39F32D71" w14:textId="77777777" w:rsidR="00E045DB" w:rsidRPr="001B512D" w:rsidRDefault="00E045DB" w:rsidP="00E02CDD">
            <w:pPr>
              <w:spacing w:after="0" w:line="240" w:lineRule="auto"/>
              <w:ind w:left="567" w:hanging="425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41232988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14:paraId="7CFD2C4E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14:paraId="1799ADBD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14:paraId="7DAAF9CF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14:paraId="233E6559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14:paraId="2BC2D795" w14:textId="77777777" w:rsidR="00E045DB" w:rsidRPr="001B512D" w:rsidRDefault="00E045DB" w:rsidP="00E02CDD">
            <w:pPr>
              <w:spacing w:after="0" w:line="240" w:lineRule="auto"/>
              <w:ind w:left="567" w:hanging="425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6CD53735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4AB3E26A" w14:textId="77777777" w:rsidR="00E045DB" w:rsidRPr="001B512D" w:rsidRDefault="00E045DB" w:rsidP="00E02CDD">
            <w:pPr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1B512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7201E794" w14:textId="77777777" w:rsidR="00E045DB" w:rsidRPr="001B512D" w:rsidRDefault="00E045DB" w:rsidP="00E02CDD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1B512D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14:paraId="4E1E0842" w14:textId="77777777" w:rsidR="00E045DB" w:rsidRPr="001B512D" w:rsidRDefault="00E045DB" w:rsidP="00E02C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1B512D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14:paraId="712FB09A" w14:textId="77777777" w:rsidR="00E045DB" w:rsidRPr="001B512D" w:rsidRDefault="00E045DB" w:rsidP="00E02C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4D9701F9" w14:textId="77777777" w:rsidR="00E045DB" w:rsidRPr="001B512D" w:rsidRDefault="00E045DB" w:rsidP="00E02C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35339B61" w14:textId="77777777" w:rsidR="00E045DB" w:rsidRPr="001B512D" w:rsidRDefault="00E045DB" w:rsidP="00E02C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84" w:hanging="142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B512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14:paraId="17DC9DA0" w14:textId="77777777" w:rsidR="00D363BE" w:rsidRDefault="00D363BE" w:rsidP="00E02CDD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გამოცდებიჩატარდება ფორმალიზებული წესით.</w:t>
            </w:r>
          </w:p>
          <w:p w14:paraId="0597BE3F" w14:textId="77777777" w:rsidR="00D363BE" w:rsidRDefault="00D363BE" w:rsidP="00E02CDD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საქართველოს განათლებისა და მეცნიერების მინისტრის 2007 წლის 35 იანვრის 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№3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14:paraId="296A366D" w14:textId="77777777" w:rsidR="00E045DB" w:rsidRPr="001B512D" w:rsidRDefault="00E045DB" w:rsidP="00E02CD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512D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შენიშვნა</w:t>
            </w:r>
            <w:proofErr w:type="spellEnd"/>
            <w:r w:rsidRPr="001B512D">
              <w:rPr>
                <w:b/>
                <w:color w:val="000000"/>
                <w:sz w:val="20"/>
                <w:szCs w:val="20"/>
              </w:rPr>
              <w:t>:</w:t>
            </w:r>
            <w:r w:rsidR="006952BF" w:rsidRPr="001B512D">
              <w:rPr>
                <w:color w:val="000000"/>
                <w:sz w:val="20"/>
                <w:szCs w:val="20"/>
              </w:rPr>
              <w:t xml:space="preserve"> 1. </w:t>
            </w:r>
            <w:r w:rsidRPr="001B51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შუალედური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დასკვნითი</w:t>
            </w:r>
            <w:proofErr w:type="spellEnd"/>
            <w:r w:rsidRPr="001B512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დამატებითი</w:t>
            </w:r>
            <w:proofErr w:type="spellEnd"/>
            <w:r w:rsidRPr="001B512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გამოცდები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ჩატარდება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ფორმალიზებული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წესით</w:t>
            </w:r>
            <w:proofErr w:type="spellEnd"/>
            <w:r w:rsidRPr="001B512D">
              <w:rPr>
                <w:color w:val="000000"/>
                <w:sz w:val="20"/>
                <w:szCs w:val="20"/>
              </w:rPr>
              <w:t xml:space="preserve">; </w:t>
            </w:r>
          </w:p>
          <w:p w14:paraId="6AB6CEA2" w14:textId="77777777" w:rsidR="009D7832" w:rsidRPr="001B512D" w:rsidRDefault="006952BF" w:rsidP="00E02CDD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i/>
                <w:sz w:val="20"/>
                <w:szCs w:val="20"/>
              </w:rPr>
            </w:pPr>
            <w:r w:rsidRPr="001B512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2.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სტუდენტის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კრიტერიუმები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განსაზღვრულია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კურსების</w:t>
            </w:r>
            <w:proofErr w:type="spellEnd"/>
            <w:r w:rsidR="00E02C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E045DB" w:rsidRPr="001B512D">
              <w:rPr>
                <w:rFonts w:ascii="Sylfaen" w:hAnsi="Sylfaen" w:cs="Sylfaen"/>
                <w:color w:val="000000"/>
                <w:sz w:val="20"/>
                <w:szCs w:val="20"/>
              </w:rPr>
              <w:t>სილაბუსით</w:t>
            </w:r>
            <w:proofErr w:type="spellEnd"/>
            <w:r w:rsidR="00E045DB" w:rsidRPr="001B512D">
              <w:rPr>
                <w:color w:val="000000"/>
                <w:sz w:val="20"/>
                <w:szCs w:val="20"/>
              </w:rPr>
              <w:t>;</w:t>
            </w:r>
          </w:p>
        </w:tc>
      </w:tr>
      <w:tr w:rsidR="00FD430A" w:rsidRPr="001B512D" w14:paraId="0453C20A" w14:textId="77777777" w:rsidTr="00E02CDD">
        <w:trPr>
          <w:trHeight w:val="284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FFE280F" w14:textId="77777777" w:rsidR="005B60B3" w:rsidRPr="001B512D" w:rsidRDefault="009D7832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  <w:r w:rsidR="005B60B3"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1B512D" w14:paraId="036FEC5E" w14:textId="77777777" w:rsidTr="00E02CDD">
        <w:trPr>
          <w:trHeight w:val="866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7A41F" w14:textId="77777777" w:rsidR="009D7832" w:rsidRPr="001B512D" w:rsidRDefault="00592C53" w:rsidP="00E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1B512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მათემატიკის დამატებითი (</w:t>
            </w:r>
            <w:r w:rsidRPr="001B512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Minor) </w:t>
            </w:r>
            <w:r w:rsidRPr="001B512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პროგრამის გავლა ხელშემწყობი ფაქტორია ყველა იმ სფეროში დასაქმებისათვის, რომლებშიც მოითხოვენ მათემატიკის ცოდნას, მათემატიკური მეთოდების ფლობას  და ლოგიკური აზროვნების უნარს. </w:t>
            </w:r>
          </w:p>
        </w:tc>
      </w:tr>
      <w:tr w:rsidR="00FD430A" w:rsidRPr="001B512D" w14:paraId="551FE4D0" w14:textId="77777777" w:rsidTr="00E02CDD">
        <w:trPr>
          <w:trHeight w:val="298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7CB80FA" w14:textId="77777777" w:rsidR="009D7832" w:rsidRPr="001B512D" w:rsidRDefault="009D7832" w:rsidP="00E02CD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/</w:t>
            </w:r>
            <w:r w:rsidR="00FD430A" w:rsidRPr="001B512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B51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რესურსები</w:t>
            </w:r>
          </w:p>
        </w:tc>
      </w:tr>
      <w:tr w:rsidR="00FD430A" w:rsidRPr="001B512D" w14:paraId="585E8B4B" w14:textId="77777777" w:rsidTr="00E02CDD">
        <w:trPr>
          <w:trHeight w:val="284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9F247" w14:textId="77777777" w:rsidR="00D03458" w:rsidRPr="00E02CDD" w:rsidRDefault="00D03458" w:rsidP="00E02CD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</w:t>
            </w:r>
            <w:r w:rsidRPr="001B51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განხორციელებისათვის გამოიყენება:</w:t>
            </w:r>
          </w:p>
          <w:p w14:paraId="03F06B28" w14:textId="77777777" w:rsidR="00D03458" w:rsidRPr="001B512D" w:rsidRDefault="00D03458" w:rsidP="00E02C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</w:t>
            </w:r>
            <w:r w:rsidRPr="001B512D">
              <w:rPr>
                <w:rFonts w:ascii="Sylfaen" w:hAnsi="Sylfaen" w:cs="Sylfaen"/>
                <w:sz w:val="20"/>
                <w:szCs w:val="20"/>
              </w:rPr>
              <w:t>,</w:t>
            </w: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</w:t>
            </w: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მეცნიერებათა ფაკულტეტის</w:t>
            </w:r>
            <w:r w:rsidRPr="001B512D">
              <w:rPr>
                <w:rFonts w:ascii="Sylfaen" w:hAnsi="Sylfaen" w:cs="Sylfaen"/>
                <w:sz w:val="20"/>
                <w:szCs w:val="20"/>
              </w:rPr>
              <w:t>,</w:t>
            </w:r>
            <w:r w:rsidRPr="001B51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14:paraId="394B9D72" w14:textId="77777777" w:rsidR="00D03458" w:rsidRPr="001B512D" w:rsidRDefault="00D03458" w:rsidP="00E02C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ზუსტ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 w:rsidR="00E02C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ინტერნეტ-რესურსები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საპრეზენტაციო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B512D">
              <w:rPr>
                <w:rFonts w:ascii="Sylfaen" w:hAnsi="Sylfaen" w:cs="Sylfaen"/>
                <w:sz w:val="20"/>
                <w:szCs w:val="20"/>
              </w:rPr>
              <w:t>ტექნიკა</w:t>
            </w:r>
            <w:proofErr w:type="spellEnd"/>
            <w:r w:rsidRPr="001B512D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24E3F5EF" w14:textId="77777777" w:rsidR="00535F8D" w:rsidRPr="001B512D" w:rsidRDefault="00535F8D" w:rsidP="00E02CD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D430A" w:rsidRPr="001B512D" w14:paraId="6BE92695" w14:textId="77777777" w:rsidTr="00E02CD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10598" w:type="dxa"/>
            <w:gridSpan w:val="3"/>
            <w:tcBorders>
              <w:top w:val="single" w:sz="18" w:space="0" w:color="auto"/>
            </w:tcBorders>
          </w:tcPr>
          <w:p w14:paraId="3E12A24D" w14:textId="77777777" w:rsidR="009D7832" w:rsidRPr="001B512D" w:rsidRDefault="009D7832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6A7A0E53" w14:textId="77777777" w:rsidR="00134AAB" w:rsidRPr="00592C53" w:rsidRDefault="00134AAB" w:rsidP="00E02CDD">
      <w:pPr>
        <w:framePr w:w="10344" w:wrap="auto" w:hAnchor="text" w:x="993"/>
        <w:spacing w:line="240" w:lineRule="auto"/>
        <w:rPr>
          <w:rFonts w:ascii="Sylfaen" w:hAnsi="Sylfaen"/>
          <w:b/>
          <w:lang w:val="ka-GE"/>
        </w:rPr>
        <w:sectPr w:rsidR="00134AAB" w:rsidRPr="00592C53" w:rsidSect="00E02CDD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846B14" w14:textId="77777777" w:rsidR="004D414B" w:rsidRPr="00D363BE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592C53">
        <w:rPr>
          <w:rFonts w:ascii="Sylfaen" w:eastAsia="Times New Roman" w:hAnsi="Sylfaen" w:cs="Times New Roman"/>
          <w:b/>
          <w:noProof/>
        </w:rPr>
        <w:lastRenderedPageBreak/>
        <w:drawing>
          <wp:inline distT="0" distB="0" distL="0" distR="0" wp14:anchorId="427A3E91" wp14:editId="66BF23BB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3BE">
        <w:rPr>
          <w:rFonts w:ascii="Sylfaen" w:eastAsia="Times New Roman" w:hAnsi="Sylfaen" w:cs="Sylfaen"/>
          <w:b/>
          <w:lang w:val="ka-GE" w:eastAsia="ru-RU"/>
        </w:rPr>
        <w:t>დანართი 1</w:t>
      </w:r>
    </w:p>
    <w:p w14:paraId="5E0CD1CE" w14:textId="29440648" w:rsidR="004D414B" w:rsidRPr="0038740D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592C5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="00747F9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2021</w:t>
      </w:r>
      <w:r w:rsidR="0090289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</w:t>
      </w:r>
      <w:r w:rsidRPr="00592C53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Pr="00592C5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="0038740D"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</w:p>
    <w:p w14:paraId="2CD9A920" w14:textId="77777777" w:rsidR="004D414B" w:rsidRPr="00592C53" w:rsidRDefault="00D363BE" w:rsidP="00882020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eastAsia="ru-RU"/>
        </w:rPr>
        <w:t>Minor-</w:t>
      </w:r>
      <w:r w:rsidR="004D414B" w:rsidRPr="00592C5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="0073607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მათემატიკა</w:t>
      </w:r>
    </w:p>
    <w:tbl>
      <w:tblPr>
        <w:tblW w:w="13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84"/>
        <w:gridCol w:w="507"/>
        <w:gridCol w:w="781"/>
        <w:gridCol w:w="622"/>
        <w:gridCol w:w="809"/>
        <w:gridCol w:w="619"/>
        <w:gridCol w:w="1057"/>
        <w:gridCol w:w="485"/>
        <w:gridCol w:w="409"/>
        <w:gridCol w:w="459"/>
        <w:gridCol w:w="499"/>
        <w:gridCol w:w="472"/>
        <w:gridCol w:w="469"/>
        <w:gridCol w:w="524"/>
        <w:gridCol w:w="571"/>
        <w:gridCol w:w="568"/>
      </w:tblGrid>
      <w:tr w:rsidR="003B210B" w:rsidRPr="00E02CDD" w14:paraId="1BA18246" w14:textId="77777777" w:rsidTr="009310BF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3539E99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9C261A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960000"/>
            <w:vAlign w:val="center"/>
          </w:tcPr>
          <w:p w14:paraId="012A094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44B3DEE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37B67D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E02CD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E02CD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04C58B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60000"/>
            <w:textDirection w:val="btLr"/>
          </w:tcPr>
          <w:p w14:paraId="3BF4064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9310BF" w:rsidRPr="00E02CDD" w14:paraId="237EDD73" w14:textId="77777777" w:rsidTr="009310BF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E0F7EE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384956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shd w:val="clear" w:color="auto" w:fill="960000"/>
            <w:vAlign w:val="center"/>
          </w:tcPr>
          <w:p w14:paraId="206535D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  <w:shd w:val="clear" w:color="auto" w:fill="960000"/>
          </w:tcPr>
          <w:p w14:paraId="65CF384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960000"/>
          </w:tcPr>
          <w:p w14:paraId="59AE8DA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19" w:type="dxa"/>
            <w:vMerge w:val="restart"/>
            <w:shd w:val="clear" w:color="auto" w:fill="960000"/>
          </w:tcPr>
          <w:p w14:paraId="187C15C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shd w:val="clear" w:color="auto" w:fill="960000"/>
            <w:vAlign w:val="center"/>
          </w:tcPr>
          <w:p w14:paraId="6B5D622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 w:val="restart"/>
            <w:tcBorders>
              <w:left w:val="double" w:sz="4" w:space="0" w:color="auto"/>
            </w:tcBorders>
            <w:shd w:val="clear" w:color="auto" w:fill="960000"/>
            <w:vAlign w:val="center"/>
          </w:tcPr>
          <w:p w14:paraId="788AE4E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9" w:type="dxa"/>
            <w:vMerge w:val="restart"/>
            <w:shd w:val="clear" w:color="auto" w:fill="960000"/>
            <w:vAlign w:val="center"/>
          </w:tcPr>
          <w:p w14:paraId="037C6C6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59" w:type="dxa"/>
            <w:vMerge w:val="restart"/>
            <w:shd w:val="clear" w:color="auto" w:fill="960000"/>
            <w:vAlign w:val="center"/>
          </w:tcPr>
          <w:p w14:paraId="57586AD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99" w:type="dxa"/>
            <w:vMerge w:val="restart"/>
            <w:shd w:val="clear" w:color="auto" w:fill="960000"/>
            <w:vAlign w:val="center"/>
          </w:tcPr>
          <w:p w14:paraId="76077A6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72" w:type="dxa"/>
            <w:vMerge w:val="restart"/>
            <w:shd w:val="clear" w:color="auto" w:fill="960000"/>
            <w:vAlign w:val="center"/>
          </w:tcPr>
          <w:p w14:paraId="17EF48B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69" w:type="dxa"/>
            <w:vMerge w:val="restart"/>
            <w:shd w:val="clear" w:color="auto" w:fill="960000"/>
            <w:vAlign w:val="center"/>
          </w:tcPr>
          <w:p w14:paraId="51C4533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shd w:val="clear" w:color="auto" w:fill="960000"/>
            <w:vAlign w:val="center"/>
          </w:tcPr>
          <w:p w14:paraId="73BA3A0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shd w:val="clear" w:color="auto" w:fill="960000"/>
            <w:vAlign w:val="center"/>
          </w:tcPr>
          <w:p w14:paraId="4A51FE5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60000"/>
          </w:tcPr>
          <w:p w14:paraId="4696D53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310BF" w:rsidRPr="00E02CDD" w14:paraId="55496173" w14:textId="77777777" w:rsidTr="009310BF">
        <w:trPr>
          <w:cantSplit/>
          <w:trHeight w:val="1693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502544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567F6E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078680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shd w:val="clear" w:color="auto" w:fill="960000"/>
          </w:tcPr>
          <w:p w14:paraId="763B48B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960000"/>
            <w:textDirection w:val="btLr"/>
          </w:tcPr>
          <w:p w14:paraId="5B6106C4" w14:textId="77777777" w:rsidR="003B210B" w:rsidRPr="00E02CDD" w:rsidRDefault="003B210B" w:rsidP="00E02CDD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960000"/>
            <w:textDirection w:val="btLr"/>
          </w:tcPr>
          <w:p w14:paraId="344D8444" w14:textId="77777777" w:rsidR="003B210B" w:rsidRPr="00E02CDD" w:rsidRDefault="003B210B" w:rsidP="00E02CDD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shd w:val="clear" w:color="auto" w:fill="960000"/>
          </w:tcPr>
          <w:p w14:paraId="1CD7F03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2327E4D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4C8405E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FE2F59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40F45BB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96EC48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2977765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6702EFA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6B06E3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9806B8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14:paraId="7EA9DB2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310BF" w:rsidRPr="00E02CDD" w14:paraId="3527A796" w14:textId="77777777" w:rsidTr="009310BF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B2C636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0EE2C1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7C1EB89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419C35E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20CD7A1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5D0EE7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3B5A051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782B28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3C07B71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F07C33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37D941B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24B9F0E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C5C94D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56C675F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6A83C4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F1C53F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CCD259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</w:tr>
      <w:tr w:rsidR="003B210B" w:rsidRPr="00E02CDD" w14:paraId="6ACD4C41" w14:textId="77777777" w:rsidTr="00E02CDD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54F2E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84" w:type="dxa"/>
          </w:tcPr>
          <w:p w14:paraId="4EF70705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ერთი</w:t>
            </w:r>
            <w:proofErr w:type="spellEnd"/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ცვლადის</w:t>
            </w:r>
            <w:proofErr w:type="spellEnd"/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ფუნქციების</w:t>
            </w:r>
            <w:proofErr w:type="spellEnd"/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დიფერენცირება</w:t>
            </w:r>
            <w:proofErr w:type="spellEnd"/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და</w:t>
            </w:r>
            <w:proofErr w:type="spellEnd"/>
            <w:r w:rsidRPr="00E02CDD">
              <w:rPr>
                <w:rStyle w:val="Strong"/>
                <w:rFonts w:ascii="Sylfaen" w:hAnsi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E02CDD">
              <w:rPr>
                <w:rStyle w:val="Strong"/>
                <w:rFonts w:ascii="Sylfaen" w:hAnsi="Sylfaen" w:cs="Sylfae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ინტეგრება</w:t>
            </w:r>
            <w:proofErr w:type="spellEnd"/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5D51DC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E39E9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6484EF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F0B1FF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D641B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0EA2D98D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80BD2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E6681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337CF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4ED8D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8E09AC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9E777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95A12D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913FD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24BA38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0755DF25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F34E2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84" w:type="dxa"/>
          </w:tcPr>
          <w:p w14:paraId="71090CD8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ანალიზური გეომეტრია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033EB7E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</w:tcPr>
          <w:p w14:paraId="1821CF1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</w:tcPr>
          <w:p w14:paraId="64128BB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3686943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</w:tcPr>
          <w:p w14:paraId="63F1E12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515815DF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3B4BF16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6B7859F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</w:tcPr>
          <w:p w14:paraId="031FAA3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</w:tcPr>
          <w:p w14:paraId="70D1482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27CA1A6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0F62986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547CDAB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4DE922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799940B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5AA80078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5E366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</w:tcPr>
          <w:p w14:paraId="2D58F9F6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ალგებრა 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97A1A3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6C4CDDF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5BEC1DB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0C3D500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2734B04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2B5B7E6B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00D948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5408E29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73E91D4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5114507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</w:tcPr>
          <w:p w14:paraId="136060E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7372CFD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169D4FD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C0CBD0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7FBB974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7DBE889B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26EEE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984" w:type="dxa"/>
          </w:tcPr>
          <w:p w14:paraId="42A82907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ანალიზი -</w:t>
            </w:r>
            <w:r w:rsidRPr="00E02CD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83AB70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0F8B637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7173148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66E88D5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0283F35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1B1B202F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AAE5AC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0DDE765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2A6FAC6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19366E8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</w:tcPr>
          <w:p w14:paraId="583AC28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61448EB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1E235FF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4E245E2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643C70C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46A4366B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8BA31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84" w:type="dxa"/>
          </w:tcPr>
          <w:p w14:paraId="34FD4C4E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ანალიზი -</w:t>
            </w:r>
            <w:r w:rsidRPr="00E02CD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74650BB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637FABA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33E9BBE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28D96AC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37E2051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74E966E4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391D337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04D033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1581801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241CD3A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00F0252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</w:tcPr>
          <w:p w14:paraId="17CD21B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3392D18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27C226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0F40DE7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</w:tr>
      <w:tr w:rsidR="003B210B" w:rsidRPr="00E02CDD" w14:paraId="73436F48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C8704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984" w:type="dxa"/>
          </w:tcPr>
          <w:p w14:paraId="3887A424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ალგებრა -2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6B0BED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0595F5B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64FFCBB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4435FBD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660B96A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659FC1A3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3CD467C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B9EF84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5CA8206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38EFCA0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6225B09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</w:tcPr>
          <w:p w14:paraId="5AF3EF4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5B2FB55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04C7AB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210C631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</w:tr>
      <w:tr w:rsidR="003B210B" w:rsidRPr="00E02CDD" w14:paraId="76C0A745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1100E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984" w:type="dxa"/>
          </w:tcPr>
          <w:p w14:paraId="105BD551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ალგებრა -3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E13379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3248EB1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327054A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1A6D8A4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775F85C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269D4E3C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7BCF2D5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560B186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02B4117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510DF6B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1FBE9C1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6E7694B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</w:tcPr>
          <w:p w14:paraId="5633139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083077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3DC2D70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</w:tr>
      <w:tr w:rsidR="003B210B" w:rsidRPr="00E02CDD" w14:paraId="00745910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DE0B6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984" w:type="dxa"/>
          </w:tcPr>
          <w:p w14:paraId="7C689308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ჩვეულებრივი დიფერენციალური განტოლებები-1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2DD9C9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1ACCD19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3E90DF4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09" w:type="dxa"/>
          </w:tcPr>
          <w:p w14:paraId="56D174D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3C7C26B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7" w:type="dxa"/>
          </w:tcPr>
          <w:p w14:paraId="01E6D0D8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0EE69A1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FB1C02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2126065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4ACF085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037F89F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4EDC571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</w:tcPr>
          <w:p w14:paraId="7606EEF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309739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CA4FC6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01906752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896A2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984" w:type="dxa"/>
          </w:tcPr>
          <w:p w14:paraId="54BAC5AB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ფუნქციონალური ანალიზი-1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1C3E127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1458340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16CFE81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4107E9D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67A2A00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14:paraId="64E19B28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3E0A485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2B86004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4EC5995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0D9911A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4447D69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13012AC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2ED3547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7C5CEF5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457A63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345A5AD1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D8786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984" w:type="dxa"/>
          </w:tcPr>
          <w:p w14:paraId="5A8ECE92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ალბათობის თეორია და მათემატიკური სტატისტიკა</w:t>
            </w:r>
            <w:r w:rsidRPr="00E02CDD">
              <w:rPr>
                <w:rFonts w:ascii="Sylfaen" w:hAnsi="Sylfaen"/>
                <w:sz w:val="20"/>
                <w:szCs w:val="20"/>
              </w:rPr>
              <w:t>-1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3397984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59B8FCA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28C0B8D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047F7F0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2A38D32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108A3E7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2384CBF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389227B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5A0A4E8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5874647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043F22F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052E241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562C756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2A1D15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14E8719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7C237780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5ACDCF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984" w:type="dxa"/>
          </w:tcPr>
          <w:p w14:paraId="7B96356B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ოპტიმიზაციის მეთოდები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C8C450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3C41F53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</w:tcPr>
          <w:p w14:paraId="496A061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</w:tcPr>
          <w:p w14:paraId="0379886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68720F7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7AC8F9DC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0B2669C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5BB3DC4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1E15FDAA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4CB117E2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40EE0AA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071A679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1B046F3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42C1BCE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7B335A7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6F4B9141" w14:textId="77777777" w:rsidTr="00E02CDD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AC60B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984" w:type="dxa"/>
          </w:tcPr>
          <w:p w14:paraId="2B06FFA8" w14:textId="77777777" w:rsidR="003B210B" w:rsidRPr="00E02CDD" w:rsidRDefault="003B210B" w:rsidP="00E02CD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მოდელირება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68AAC4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</w:tcPr>
          <w:p w14:paraId="50FF9D8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</w:tcPr>
          <w:p w14:paraId="794BCC7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9" w:type="dxa"/>
          </w:tcPr>
          <w:p w14:paraId="6BEFCB71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</w:tcPr>
          <w:p w14:paraId="695CA29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21D55989" w14:textId="77777777" w:rsidR="003B210B" w:rsidRPr="00E02CDD" w:rsidRDefault="003B210B" w:rsidP="00E02C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E02CDD">
              <w:rPr>
                <w:rFonts w:ascii="Sylfaen" w:hAnsi="Sylfaen"/>
                <w:sz w:val="20"/>
                <w:szCs w:val="20"/>
              </w:rPr>
              <w:t>2</w:t>
            </w:r>
            <w:r w:rsidRPr="00E02CDD">
              <w:rPr>
                <w:rFonts w:ascii="Sylfaen" w:hAnsi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14:paraId="10D8B3D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14:paraId="6477F52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</w:tcPr>
          <w:p w14:paraId="6903CB6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</w:tcPr>
          <w:p w14:paraId="519F152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</w:tcPr>
          <w:p w14:paraId="5EFB076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</w:tcPr>
          <w:p w14:paraId="5F57E7E3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</w:tcPr>
          <w:p w14:paraId="4A67D7C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CCD4E0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14:paraId="3B38060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3B210B" w:rsidRPr="00E02CDD" w14:paraId="688E9E5C" w14:textId="77777777" w:rsidTr="009310BF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1106798" w14:textId="77777777" w:rsidR="003B210B" w:rsidRPr="00E02CDD" w:rsidRDefault="003B210B" w:rsidP="00E02CDD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960000"/>
            <w:vAlign w:val="center"/>
          </w:tcPr>
          <w:p w14:paraId="2D630B29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1" w:type="dxa"/>
            <w:shd w:val="clear" w:color="auto" w:fill="960000"/>
            <w:vAlign w:val="center"/>
          </w:tcPr>
          <w:p w14:paraId="4BAFEEA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1525</w:t>
            </w:r>
          </w:p>
        </w:tc>
        <w:tc>
          <w:tcPr>
            <w:tcW w:w="622" w:type="dxa"/>
            <w:shd w:val="clear" w:color="auto" w:fill="960000"/>
            <w:vAlign w:val="center"/>
          </w:tcPr>
          <w:p w14:paraId="376420F7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645</w:t>
            </w:r>
          </w:p>
        </w:tc>
        <w:tc>
          <w:tcPr>
            <w:tcW w:w="809" w:type="dxa"/>
            <w:shd w:val="clear" w:color="auto" w:fill="960000"/>
            <w:vAlign w:val="center"/>
          </w:tcPr>
          <w:p w14:paraId="17516D7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619" w:type="dxa"/>
            <w:shd w:val="clear" w:color="auto" w:fill="960000"/>
            <w:vAlign w:val="center"/>
          </w:tcPr>
          <w:p w14:paraId="29E11785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841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960000"/>
            <w:vAlign w:val="center"/>
          </w:tcPr>
          <w:p w14:paraId="3B500004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02CD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shd w:val="clear" w:color="auto" w:fill="960000"/>
            <w:vAlign w:val="center"/>
          </w:tcPr>
          <w:p w14:paraId="071D63DC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shd w:val="clear" w:color="auto" w:fill="960000"/>
            <w:vAlign w:val="center"/>
          </w:tcPr>
          <w:p w14:paraId="0D8CB09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shd w:val="clear" w:color="auto" w:fill="960000"/>
            <w:vAlign w:val="center"/>
          </w:tcPr>
          <w:p w14:paraId="695E3C48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960000"/>
            <w:vAlign w:val="center"/>
          </w:tcPr>
          <w:p w14:paraId="5F3B8A4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shd w:val="clear" w:color="auto" w:fill="960000"/>
            <w:vAlign w:val="center"/>
          </w:tcPr>
          <w:p w14:paraId="0A354DEB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shd w:val="clear" w:color="auto" w:fill="960000"/>
            <w:vAlign w:val="center"/>
          </w:tcPr>
          <w:p w14:paraId="39FAEEB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shd w:val="clear" w:color="auto" w:fill="960000"/>
            <w:vAlign w:val="center"/>
          </w:tcPr>
          <w:p w14:paraId="6AA49AC0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shd w:val="clear" w:color="auto" w:fill="960000"/>
            <w:vAlign w:val="center"/>
          </w:tcPr>
          <w:p w14:paraId="47D1A166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960000"/>
            <w:vAlign w:val="center"/>
          </w:tcPr>
          <w:p w14:paraId="5029A43D" w14:textId="77777777" w:rsidR="003B210B" w:rsidRPr="00E02CDD" w:rsidRDefault="003B210B" w:rsidP="00E02C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425E2655" w14:textId="77777777" w:rsidR="00051AA3" w:rsidRPr="00592C53" w:rsidRDefault="00051AA3" w:rsidP="00882020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  <w:sectPr w:rsidR="00051AA3" w:rsidRPr="00592C53" w:rsidSect="00E02CDD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0F16ED6" w14:textId="77777777" w:rsidR="00C23530" w:rsidRPr="00592C53" w:rsidRDefault="00C23530" w:rsidP="00882020">
      <w:pPr>
        <w:spacing w:line="240" w:lineRule="auto"/>
        <w:rPr>
          <w:rFonts w:ascii="Sylfaen" w:hAnsi="Sylfaen"/>
          <w:b/>
        </w:rPr>
      </w:pPr>
    </w:p>
    <w:sectPr w:rsidR="00C23530" w:rsidRPr="00592C53" w:rsidSect="00E02CD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3CFE" w14:textId="77777777" w:rsidR="00F1479A" w:rsidRDefault="00F1479A">
      <w:pPr>
        <w:spacing w:after="0" w:line="240" w:lineRule="auto"/>
      </w:pPr>
      <w:r>
        <w:separator/>
      </w:r>
    </w:p>
  </w:endnote>
  <w:endnote w:type="continuationSeparator" w:id="0">
    <w:p w14:paraId="3C7D674D" w14:textId="77777777" w:rsidR="00F1479A" w:rsidRDefault="00F1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3F84" w14:textId="77777777" w:rsidR="00D403BA" w:rsidRDefault="00A374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3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3732F" w14:textId="77777777" w:rsidR="00D403BA" w:rsidRDefault="00D403BA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7AF4" w14:textId="77777777" w:rsidR="00D403BA" w:rsidRDefault="00A374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3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F9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00CBEA" w14:textId="77777777" w:rsidR="00D403BA" w:rsidRDefault="00D403BA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95CE" w14:textId="77777777" w:rsidR="00F1479A" w:rsidRDefault="00F1479A">
      <w:pPr>
        <w:spacing w:after="0" w:line="240" w:lineRule="auto"/>
      </w:pPr>
      <w:r>
        <w:separator/>
      </w:r>
    </w:p>
  </w:footnote>
  <w:footnote w:type="continuationSeparator" w:id="0">
    <w:p w14:paraId="7A0F6AFF" w14:textId="77777777" w:rsidR="00F1479A" w:rsidRDefault="00F1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51E2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5"/>
  </w:num>
  <w:num w:numId="5">
    <w:abstractNumId w:val="26"/>
  </w:num>
  <w:num w:numId="6">
    <w:abstractNumId w:val="1"/>
  </w:num>
  <w:num w:numId="7">
    <w:abstractNumId w:val="8"/>
  </w:num>
  <w:num w:numId="8">
    <w:abstractNumId w:val="0"/>
  </w:num>
  <w:num w:numId="9">
    <w:abstractNumId w:val="28"/>
  </w:num>
  <w:num w:numId="10">
    <w:abstractNumId w:val="32"/>
  </w:num>
  <w:num w:numId="11">
    <w:abstractNumId w:val="23"/>
  </w:num>
  <w:num w:numId="12">
    <w:abstractNumId w:val="9"/>
  </w:num>
  <w:num w:numId="13">
    <w:abstractNumId w:val="34"/>
  </w:num>
  <w:num w:numId="14">
    <w:abstractNumId w:val="13"/>
  </w:num>
  <w:num w:numId="15">
    <w:abstractNumId w:val="27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37"/>
  </w:num>
  <w:num w:numId="21">
    <w:abstractNumId w:val="25"/>
  </w:num>
  <w:num w:numId="22">
    <w:abstractNumId w:val="20"/>
  </w:num>
  <w:num w:numId="23">
    <w:abstractNumId w:val="7"/>
  </w:num>
  <w:num w:numId="24">
    <w:abstractNumId w:val="10"/>
  </w:num>
  <w:num w:numId="25">
    <w:abstractNumId w:val="21"/>
  </w:num>
  <w:num w:numId="26">
    <w:abstractNumId w:val="11"/>
  </w:num>
  <w:num w:numId="27">
    <w:abstractNumId w:val="33"/>
  </w:num>
  <w:num w:numId="28">
    <w:abstractNumId w:val="17"/>
  </w:num>
  <w:num w:numId="29">
    <w:abstractNumId w:val="29"/>
  </w:num>
  <w:num w:numId="30">
    <w:abstractNumId w:val="3"/>
  </w:num>
  <w:num w:numId="31">
    <w:abstractNumId w:val="22"/>
  </w:num>
  <w:num w:numId="32">
    <w:abstractNumId w:val="12"/>
  </w:num>
  <w:num w:numId="33">
    <w:abstractNumId w:val="16"/>
  </w:num>
  <w:num w:numId="34">
    <w:abstractNumId w:val="2"/>
  </w:num>
  <w:num w:numId="35">
    <w:abstractNumId w:val="19"/>
  </w:num>
  <w:num w:numId="36">
    <w:abstractNumId w:val="14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4EAF"/>
    <w:rsid w:val="00021ABB"/>
    <w:rsid w:val="00051AA3"/>
    <w:rsid w:val="00065B67"/>
    <w:rsid w:val="000828BB"/>
    <w:rsid w:val="000A3166"/>
    <w:rsid w:val="000B1885"/>
    <w:rsid w:val="000C2C51"/>
    <w:rsid w:val="000C603F"/>
    <w:rsid w:val="000D5F02"/>
    <w:rsid w:val="000D762D"/>
    <w:rsid w:val="00120135"/>
    <w:rsid w:val="0012145B"/>
    <w:rsid w:val="00125259"/>
    <w:rsid w:val="00134AAB"/>
    <w:rsid w:val="001370F8"/>
    <w:rsid w:val="00140BEC"/>
    <w:rsid w:val="0015203D"/>
    <w:rsid w:val="0015259B"/>
    <w:rsid w:val="00152E82"/>
    <w:rsid w:val="0015476C"/>
    <w:rsid w:val="00155193"/>
    <w:rsid w:val="001748AF"/>
    <w:rsid w:val="00175F46"/>
    <w:rsid w:val="00186300"/>
    <w:rsid w:val="001A0581"/>
    <w:rsid w:val="001A2F91"/>
    <w:rsid w:val="001B512D"/>
    <w:rsid w:val="001C4003"/>
    <w:rsid w:val="001C6FCE"/>
    <w:rsid w:val="001D6503"/>
    <w:rsid w:val="00202B0E"/>
    <w:rsid w:val="00203227"/>
    <w:rsid w:val="00213B1A"/>
    <w:rsid w:val="00216CCB"/>
    <w:rsid w:val="002232BE"/>
    <w:rsid w:val="00244363"/>
    <w:rsid w:val="00250E07"/>
    <w:rsid w:val="0025620E"/>
    <w:rsid w:val="0026208A"/>
    <w:rsid w:val="00276054"/>
    <w:rsid w:val="0028130B"/>
    <w:rsid w:val="00286DFC"/>
    <w:rsid w:val="00287BEB"/>
    <w:rsid w:val="002946AE"/>
    <w:rsid w:val="002A1077"/>
    <w:rsid w:val="002C0BBA"/>
    <w:rsid w:val="002C1557"/>
    <w:rsid w:val="002C3E32"/>
    <w:rsid w:val="002C599F"/>
    <w:rsid w:val="002D0673"/>
    <w:rsid w:val="002E0F54"/>
    <w:rsid w:val="002E3464"/>
    <w:rsid w:val="002F2406"/>
    <w:rsid w:val="002F312E"/>
    <w:rsid w:val="0030499E"/>
    <w:rsid w:val="003108B5"/>
    <w:rsid w:val="003155F3"/>
    <w:rsid w:val="00324C79"/>
    <w:rsid w:val="003275F7"/>
    <w:rsid w:val="00353DB6"/>
    <w:rsid w:val="003612B3"/>
    <w:rsid w:val="003702EC"/>
    <w:rsid w:val="00372E34"/>
    <w:rsid w:val="0038740D"/>
    <w:rsid w:val="003928DD"/>
    <w:rsid w:val="003A0F33"/>
    <w:rsid w:val="003B1D07"/>
    <w:rsid w:val="003B210B"/>
    <w:rsid w:val="003B5CA1"/>
    <w:rsid w:val="003B5FF9"/>
    <w:rsid w:val="003D728A"/>
    <w:rsid w:val="003E734E"/>
    <w:rsid w:val="003E7626"/>
    <w:rsid w:val="003F0F62"/>
    <w:rsid w:val="003F6419"/>
    <w:rsid w:val="003F75A6"/>
    <w:rsid w:val="004438D6"/>
    <w:rsid w:val="00443D19"/>
    <w:rsid w:val="00445A73"/>
    <w:rsid w:val="004561FF"/>
    <w:rsid w:val="00456F58"/>
    <w:rsid w:val="004677E0"/>
    <w:rsid w:val="00472B1E"/>
    <w:rsid w:val="00472DAF"/>
    <w:rsid w:val="00481C1F"/>
    <w:rsid w:val="00496B77"/>
    <w:rsid w:val="004A0325"/>
    <w:rsid w:val="004B29E9"/>
    <w:rsid w:val="004B4488"/>
    <w:rsid w:val="004D414B"/>
    <w:rsid w:val="004E0D8A"/>
    <w:rsid w:val="004F0C63"/>
    <w:rsid w:val="004F5A8F"/>
    <w:rsid w:val="00513A93"/>
    <w:rsid w:val="0052202E"/>
    <w:rsid w:val="00526D0A"/>
    <w:rsid w:val="005321EC"/>
    <w:rsid w:val="00534C33"/>
    <w:rsid w:val="00535F8D"/>
    <w:rsid w:val="0054148C"/>
    <w:rsid w:val="0055084E"/>
    <w:rsid w:val="005539B9"/>
    <w:rsid w:val="00553A37"/>
    <w:rsid w:val="00573116"/>
    <w:rsid w:val="005734B4"/>
    <w:rsid w:val="00577708"/>
    <w:rsid w:val="00582C38"/>
    <w:rsid w:val="00592C53"/>
    <w:rsid w:val="0059601C"/>
    <w:rsid w:val="005A1B5D"/>
    <w:rsid w:val="005B323C"/>
    <w:rsid w:val="005B60B3"/>
    <w:rsid w:val="005C369D"/>
    <w:rsid w:val="005D033F"/>
    <w:rsid w:val="005E4C1D"/>
    <w:rsid w:val="005E5CAF"/>
    <w:rsid w:val="0060591E"/>
    <w:rsid w:val="00621D7E"/>
    <w:rsid w:val="00630B2C"/>
    <w:rsid w:val="00662D65"/>
    <w:rsid w:val="00671403"/>
    <w:rsid w:val="0067249C"/>
    <w:rsid w:val="006777CE"/>
    <w:rsid w:val="00683DE4"/>
    <w:rsid w:val="006858BC"/>
    <w:rsid w:val="00693027"/>
    <w:rsid w:val="006952BF"/>
    <w:rsid w:val="006A0D75"/>
    <w:rsid w:val="006A4410"/>
    <w:rsid w:val="006B66B5"/>
    <w:rsid w:val="006B69C5"/>
    <w:rsid w:val="006B6CE6"/>
    <w:rsid w:val="006C73F5"/>
    <w:rsid w:val="007004CC"/>
    <w:rsid w:val="00701384"/>
    <w:rsid w:val="007245F1"/>
    <w:rsid w:val="00726EA5"/>
    <w:rsid w:val="00727C45"/>
    <w:rsid w:val="007326FF"/>
    <w:rsid w:val="007357C1"/>
    <w:rsid w:val="0073607C"/>
    <w:rsid w:val="00747F9E"/>
    <w:rsid w:val="0075158E"/>
    <w:rsid w:val="00761756"/>
    <w:rsid w:val="00761D47"/>
    <w:rsid w:val="00775A36"/>
    <w:rsid w:val="00794879"/>
    <w:rsid w:val="0079529A"/>
    <w:rsid w:val="007A489B"/>
    <w:rsid w:val="007C18EC"/>
    <w:rsid w:val="007C45FC"/>
    <w:rsid w:val="007C677F"/>
    <w:rsid w:val="007D257B"/>
    <w:rsid w:val="007E42D2"/>
    <w:rsid w:val="007F31C1"/>
    <w:rsid w:val="00801439"/>
    <w:rsid w:val="0080268F"/>
    <w:rsid w:val="00804378"/>
    <w:rsid w:val="00811863"/>
    <w:rsid w:val="008218C5"/>
    <w:rsid w:val="008455E7"/>
    <w:rsid w:val="0084706E"/>
    <w:rsid w:val="008557D6"/>
    <w:rsid w:val="00863AE2"/>
    <w:rsid w:val="008641BB"/>
    <w:rsid w:val="00870ECA"/>
    <w:rsid w:val="00872514"/>
    <w:rsid w:val="00874D4E"/>
    <w:rsid w:val="00874D65"/>
    <w:rsid w:val="00882020"/>
    <w:rsid w:val="008A5DF2"/>
    <w:rsid w:val="008A7BBE"/>
    <w:rsid w:val="008B2DF9"/>
    <w:rsid w:val="008C2507"/>
    <w:rsid w:val="008D0F41"/>
    <w:rsid w:val="008D6C90"/>
    <w:rsid w:val="008F34BE"/>
    <w:rsid w:val="008F4686"/>
    <w:rsid w:val="0090289B"/>
    <w:rsid w:val="00902C83"/>
    <w:rsid w:val="00912083"/>
    <w:rsid w:val="00920E56"/>
    <w:rsid w:val="00921BF9"/>
    <w:rsid w:val="00924C24"/>
    <w:rsid w:val="00925754"/>
    <w:rsid w:val="009272D5"/>
    <w:rsid w:val="009310BF"/>
    <w:rsid w:val="00932D2C"/>
    <w:rsid w:val="00935093"/>
    <w:rsid w:val="00946049"/>
    <w:rsid w:val="00951D9F"/>
    <w:rsid w:val="009536F4"/>
    <w:rsid w:val="00957C29"/>
    <w:rsid w:val="009708AA"/>
    <w:rsid w:val="00976EC3"/>
    <w:rsid w:val="00994781"/>
    <w:rsid w:val="009C058B"/>
    <w:rsid w:val="009C14D2"/>
    <w:rsid w:val="009C6ECB"/>
    <w:rsid w:val="009D7832"/>
    <w:rsid w:val="009E2795"/>
    <w:rsid w:val="009E4322"/>
    <w:rsid w:val="009E4BF5"/>
    <w:rsid w:val="009F0776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F05DC"/>
    <w:rsid w:val="00B01157"/>
    <w:rsid w:val="00B02236"/>
    <w:rsid w:val="00B03F29"/>
    <w:rsid w:val="00B06C22"/>
    <w:rsid w:val="00B11597"/>
    <w:rsid w:val="00B2525E"/>
    <w:rsid w:val="00B25B59"/>
    <w:rsid w:val="00B37724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A402A"/>
    <w:rsid w:val="00BA7C58"/>
    <w:rsid w:val="00BC43E9"/>
    <w:rsid w:val="00BC4AF7"/>
    <w:rsid w:val="00BC60F9"/>
    <w:rsid w:val="00BE23CD"/>
    <w:rsid w:val="00BE4634"/>
    <w:rsid w:val="00BF1513"/>
    <w:rsid w:val="00C00388"/>
    <w:rsid w:val="00C0101C"/>
    <w:rsid w:val="00C032AE"/>
    <w:rsid w:val="00C23530"/>
    <w:rsid w:val="00C307BD"/>
    <w:rsid w:val="00C32BD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75C0"/>
    <w:rsid w:val="00CA0EEC"/>
    <w:rsid w:val="00CC1092"/>
    <w:rsid w:val="00CE3B62"/>
    <w:rsid w:val="00D02D0B"/>
    <w:rsid w:val="00D03458"/>
    <w:rsid w:val="00D11154"/>
    <w:rsid w:val="00D11BF0"/>
    <w:rsid w:val="00D14DE6"/>
    <w:rsid w:val="00D20445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598D"/>
    <w:rsid w:val="00D95FCF"/>
    <w:rsid w:val="00DA4F5F"/>
    <w:rsid w:val="00DA6A6F"/>
    <w:rsid w:val="00DB3580"/>
    <w:rsid w:val="00DB437C"/>
    <w:rsid w:val="00DC2A3A"/>
    <w:rsid w:val="00DD3ECE"/>
    <w:rsid w:val="00DD78FD"/>
    <w:rsid w:val="00DE34D0"/>
    <w:rsid w:val="00DF0D61"/>
    <w:rsid w:val="00E02CDD"/>
    <w:rsid w:val="00E045DB"/>
    <w:rsid w:val="00E06F12"/>
    <w:rsid w:val="00E23011"/>
    <w:rsid w:val="00E513D5"/>
    <w:rsid w:val="00E51B52"/>
    <w:rsid w:val="00E60755"/>
    <w:rsid w:val="00E81F58"/>
    <w:rsid w:val="00E86351"/>
    <w:rsid w:val="00E94FDF"/>
    <w:rsid w:val="00E950E2"/>
    <w:rsid w:val="00EA349B"/>
    <w:rsid w:val="00EA6D3A"/>
    <w:rsid w:val="00EB0D84"/>
    <w:rsid w:val="00EF0EDE"/>
    <w:rsid w:val="00EF353B"/>
    <w:rsid w:val="00F12D10"/>
    <w:rsid w:val="00F1479A"/>
    <w:rsid w:val="00F2783D"/>
    <w:rsid w:val="00F37A8F"/>
    <w:rsid w:val="00F416FE"/>
    <w:rsid w:val="00F503D2"/>
    <w:rsid w:val="00F57E82"/>
    <w:rsid w:val="00F60DB1"/>
    <w:rsid w:val="00F71ACE"/>
    <w:rsid w:val="00F76446"/>
    <w:rsid w:val="00F80652"/>
    <w:rsid w:val="00F81D78"/>
    <w:rsid w:val="00F84DAC"/>
    <w:rsid w:val="00F871B6"/>
    <w:rsid w:val="00FA0878"/>
    <w:rsid w:val="00FA3471"/>
    <w:rsid w:val="00FA4B5C"/>
    <w:rsid w:val="00FA7E5D"/>
    <w:rsid w:val="00FB21BC"/>
    <w:rsid w:val="00FB271D"/>
    <w:rsid w:val="00FD430A"/>
    <w:rsid w:val="00FD6784"/>
    <w:rsid w:val="00FF0647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A21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za.sokhadze@atsu.edu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DF81-E42D-41E2-9CF9-3F0AC9C4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116</cp:revision>
  <cp:lastPrinted>2015-04-02T06:03:00Z</cp:lastPrinted>
  <dcterms:created xsi:type="dcterms:W3CDTF">2015-11-13T06:48:00Z</dcterms:created>
  <dcterms:modified xsi:type="dcterms:W3CDTF">2021-09-22T11:25:00Z</dcterms:modified>
</cp:coreProperties>
</file>